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bookmarkStart w:id="0" w:name="_GoBack"/>
      <w:bookmarkEnd w:id="0"/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0B2659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0B2659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0B2659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0B2659">
        <w:rPr>
          <w:rFonts w:ascii="Arial" w:eastAsia="맑은 고딕" w:hAnsi="Arial" w:hint="eastAsia"/>
          <w:b/>
          <w:i/>
          <w:noProof/>
          <w:color w:val="000000"/>
          <w:sz w:val="28"/>
        </w:rPr>
        <w:t>16</w:t>
      </w:r>
      <w:r w:rsidR="000B2659" w:rsidRPr="000B2659">
        <w:rPr>
          <w:rFonts w:ascii="Arial" w:eastAsia="맑은 고딕" w:hAnsi="Arial"/>
          <w:b/>
          <w:i/>
          <w:noProof/>
          <w:color w:val="000000"/>
          <w:sz w:val="28"/>
        </w:rPr>
        <w:t>8045</w:t>
      </w:r>
    </w:p>
    <w:p w:rsidR="00067A5F" w:rsidRPr="00670ECC" w:rsidRDefault="00067A5F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November 2016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7A6C57">
        <w:rPr>
          <w:rFonts w:hint="eastAsia"/>
          <w:b/>
          <w:noProof/>
          <w:sz w:val="24"/>
          <w:lang w:eastAsia="ko-KR"/>
        </w:rPr>
        <w:t>8.13.1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DD2CC8" w:rsidRPr="00DD2CC8">
        <w:rPr>
          <w:b/>
          <w:noProof/>
          <w:sz w:val="24"/>
          <w:lang w:eastAsia="ko-KR"/>
        </w:rPr>
        <w:t>Supporting small and variable Service Area in non-overlapped local MBMS service area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DD1CB3" w:rsidRDefault="00AC4F0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According to the </w:t>
      </w:r>
      <w:r>
        <w:rPr>
          <w:rFonts w:ascii="Times New Roman" w:hAnsi="Times New Roman" w:cs="Times New Roman"/>
          <w:sz w:val="22"/>
        </w:rPr>
        <w:t xml:space="preserve">RAN2#95bis Agreement </w:t>
      </w:r>
      <w:r>
        <w:rPr>
          <w:rFonts w:ascii="Times New Roman" w:hAnsi="Times New Roman" w:cs="Times New Roman" w:hint="eastAsia"/>
          <w:sz w:val="22"/>
        </w:rPr>
        <w:t>[</w:t>
      </w:r>
      <w:r w:rsidR="00D92D02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</w:t>
      </w:r>
      <w:r w:rsidR="00A24E2F">
        <w:rPr>
          <w:rFonts w:ascii="Times New Roman" w:hAnsi="Times New Roman" w:cs="Times New Roman" w:hint="eastAsia"/>
          <w:sz w:val="22"/>
        </w:rPr>
        <w:t xml:space="preserve"> on MBMS session reception for V2X,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Option 2 and Option 4 are </w:t>
      </w:r>
      <w:r>
        <w:rPr>
          <w:rFonts w:ascii="Times New Roman" w:hAnsi="Times New Roman" w:cs="Times New Roman" w:hint="eastAsia"/>
          <w:sz w:val="22"/>
        </w:rPr>
        <w:t>feasible and can be supported</w:t>
      </w:r>
      <w:r>
        <w:rPr>
          <w:rFonts w:ascii="Times New Roman" w:hAnsi="Times New Roman" w:cs="Times New Roman"/>
          <w:sz w:val="22"/>
        </w:rPr>
        <w:t xml:space="preserve">. </w:t>
      </w:r>
    </w:p>
    <w:p w:rsidR="00B1695D" w:rsidRPr="00B1695D" w:rsidRDefault="00B1695D" w:rsidP="00B1695D">
      <w:pPr>
        <w:pStyle w:val="a6"/>
        <w:numPr>
          <w:ilvl w:val="0"/>
          <w:numId w:val="16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1695D">
        <w:rPr>
          <w:rFonts w:ascii="Times New Roman" w:hAnsi="Times New Roman" w:cs="Times New Roman"/>
          <w:sz w:val="22"/>
        </w:rPr>
        <w:t>Option 2: Single TMGI in non-overlapped local MBMS Service Areas</w:t>
      </w:r>
    </w:p>
    <w:p w:rsidR="00B1695D" w:rsidRPr="00B1695D" w:rsidRDefault="00B1695D" w:rsidP="00B1695D">
      <w:pPr>
        <w:pStyle w:val="a6"/>
        <w:numPr>
          <w:ilvl w:val="0"/>
          <w:numId w:val="16"/>
        </w:numPr>
        <w:spacing w:line="312" w:lineRule="auto"/>
        <w:jc w:val="left"/>
        <w:rPr>
          <w:b/>
        </w:rPr>
      </w:pPr>
      <w:r w:rsidRPr="00B1695D">
        <w:rPr>
          <w:rFonts w:ascii="Times New Roman" w:hAnsi="Times New Roman" w:cs="Times New Roman"/>
          <w:sz w:val="22"/>
        </w:rPr>
        <w:t>Option 4: Different TMGIs to the MBMS Service Areas when there is overlap, in order to be able to transmit different V2X messages in the MBMS Service Areas with overlap.</w:t>
      </w:r>
    </w:p>
    <w:p w:rsidR="00B1695D" w:rsidRDefault="00B1695D" w:rsidP="00B1695D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A43D6" w:rsidRDefault="00B1695D" w:rsidP="00B1695D">
      <w:pPr>
        <w:pStyle w:val="a6"/>
        <w:spacing w:line="312" w:lineRule="auto"/>
        <w:jc w:val="left"/>
        <w:rPr>
          <w:b/>
        </w:rPr>
      </w:pPr>
      <w:r>
        <w:rPr>
          <w:rFonts w:ascii="Times New Roman" w:hAnsi="Times New Roman" w:cs="Times New Roman"/>
          <w:sz w:val="22"/>
        </w:rPr>
        <w:t xml:space="preserve">Also, </w:t>
      </w:r>
      <w:r w:rsidR="00A24E2F"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RAN2#95bis</w:t>
      </w:r>
      <w:r w:rsidR="00A24E2F">
        <w:rPr>
          <w:rFonts w:ascii="Times New Roman" w:hAnsi="Times New Roman" w:cs="Times New Roman" w:hint="eastAsia"/>
          <w:sz w:val="22"/>
        </w:rPr>
        <w:t xml:space="preserve"> meeting, RAN2</w:t>
      </w:r>
      <w:r>
        <w:rPr>
          <w:rFonts w:ascii="Times New Roman" w:hAnsi="Times New Roman" w:cs="Times New Roman"/>
          <w:sz w:val="22"/>
        </w:rPr>
        <w:t xml:space="preserve"> agreed </w:t>
      </w:r>
      <w:r w:rsidR="00A24E2F">
        <w:rPr>
          <w:rFonts w:ascii="Times New Roman" w:hAnsi="Times New Roman" w:cs="Times New Roman" w:hint="eastAsia"/>
          <w:sz w:val="22"/>
        </w:rPr>
        <w:t xml:space="preserve">to </w:t>
      </w:r>
      <w:r w:rsidR="00BB23CC">
        <w:rPr>
          <w:rFonts w:ascii="Times New Roman" w:hAnsi="Times New Roman" w:cs="Times New Roman" w:hint="eastAsia"/>
          <w:sz w:val="22"/>
        </w:rPr>
        <w:t>have smaller values for</w:t>
      </w:r>
      <w:r>
        <w:rPr>
          <w:rFonts w:ascii="Times New Roman" w:hAnsi="Times New Roman" w:cs="Times New Roman"/>
          <w:sz w:val="22"/>
        </w:rPr>
        <w:t xml:space="preserve"> </w:t>
      </w:r>
      <w:r w:rsidR="00BB23CC">
        <w:rPr>
          <w:rFonts w:ascii="Times New Roman" w:hAnsi="Times New Roman" w:cs="Times New Roman" w:hint="eastAsia"/>
          <w:sz w:val="22"/>
        </w:rPr>
        <w:t xml:space="preserve">the </w:t>
      </w:r>
      <w:r>
        <w:rPr>
          <w:rFonts w:ascii="Times New Roman" w:hAnsi="Times New Roman" w:cs="Times New Roman"/>
          <w:sz w:val="22"/>
        </w:rPr>
        <w:t>MCH/MCCH period value</w:t>
      </w:r>
      <w:r w:rsidR="00BB23CC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to reduce latency</w:t>
      </w:r>
      <w:r w:rsidR="00BB23CC">
        <w:rPr>
          <w:rFonts w:ascii="Times New Roman" w:hAnsi="Times New Roman" w:cs="Times New Roman" w:hint="eastAsia"/>
          <w:sz w:val="22"/>
        </w:rPr>
        <w:t xml:space="preserve"> as below</w:t>
      </w:r>
      <w:r>
        <w:rPr>
          <w:rFonts w:ascii="Times New Roman" w:hAnsi="Times New Roman" w:cs="Times New Roman"/>
          <w:sz w:val="22"/>
        </w:rPr>
        <w:t>.</w:t>
      </w:r>
    </w:p>
    <w:p w:rsidR="00AC4F0C" w:rsidRDefault="00AC4F0C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D2060" w:rsidTr="001D2060">
        <w:tc>
          <w:tcPr>
            <w:tcW w:w="9736" w:type="dxa"/>
          </w:tcPr>
          <w:p w:rsidR="001D2060" w:rsidRPr="00530498" w:rsidRDefault="00530498" w:rsidP="001D2060">
            <w:pPr>
              <w:pStyle w:val="Doc-text2"/>
              <w:tabs>
                <w:tab w:val="clear" w:pos="1622"/>
                <w:tab w:val="left" w:pos="718"/>
              </w:tabs>
              <w:ind w:left="0" w:firstLine="0"/>
            </w:pPr>
            <w:r>
              <w:rPr>
                <w:rFonts w:ascii="Arial Unicode MS" w:eastAsia="Arial Unicode MS" w:hAnsi="Arial Unicode MS" w:cs="Arial Unicode MS" w:hint="eastAsia"/>
                <w:lang w:eastAsia="ko-KR"/>
              </w:rPr>
              <w:t xml:space="preserve">RAN2#95bis </w:t>
            </w:r>
            <w:r w:rsidR="001D2060" w:rsidRPr="00530498">
              <w:t>Agreements:</w:t>
            </w:r>
          </w:p>
          <w:p w:rsidR="001D2060" w:rsidRPr="00530498" w:rsidRDefault="001D2060" w:rsidP="00280AC9">
            <w:pPr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530498">
              <w:rPr>
                <w:rFonts w:ascii="Times New Roman" w:hAnsi="Times New Roman" w:cs="Times New Roman"/>
                <w:i/>
              </w:rPr>
              <w:t>Set the new MCH scheduling period values to {1, 2, 4, 8, 16, 32, 64, 128, 256, 512, 1024} frames.</w:t>
            </w:r>
          </w:p>
          <w:p w:rsidR="001D2060" w:rsidRPr="00530498" w:rsidRDefault="001D2060" w:rsidP="00280AC9">
            <w:pPr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530498">
              <w:rPr>
                <w:rFonts w:ascii="Times New Roman" w:hAnsi="Times New Roman" w:cs="Times New Roman"/>
                <w:i/>
              </w:rPr>
              <w:t>Set the new MCCH repetition period values to {1, 2, 4, 8, 16, 32, 64, 128, 256} frames.</w:t>
            </w:r>
          </w:p>
          <w:p w:rsidR="001D2060" w:rsidRPr="00530498" w:rsidRDefault="001D2060" w:rsidP="00280AC9">
            <w:pPr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530498">
              <w:rPr>
                <w:rFonts w:ascii="Times New Roman" w:hAnsi="Times New Roman" w:cs="Times New Roman"/>
                <w:i/>
              </w:rPr>
              <w:t>Set the new MCCH modification period values to {1, 2, 4, 8, 16, 32, 64, 128, 256, 512, 1024} frames</w:t>
            </w:r>
          </w:p>
          <w:p w:rsidR="001D2060" w:rsidRPr="001D2060" w:rsidRDefault="001D2060" w:rsidP="00280AC9">
            <w:pPr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jc w:val="left"/>
              <w:textAlignment w:val="baseline"/>
            </w:pPr>
            <w:r w:rsidRPr="00530498">
              <w:rPr>
                <w:rFonts w:ascii="Times New Roman" w:hAnsi="Times New Roman" w:cs="Times New Roman"/>
                <w:i/>
              </w:rPr>
              <w:t>SC-PTM values will also be aligned</w:t>
            </w:r>
          </w:p>
        </w:tc>
      </w:tr>
    </w:tbl>
    <w:p w:rsidR="001D2060" w:rsidRPr="001D2060" w:rsidRDefault="001D2060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  <w:lang w:val="en-US"/>
        </w:rPr>
      </w:pPr>
    </w:p>
    <w:p w:rsidR="00AC4F0C" w:rsidRDefault="003A1F0E" w:rsidP="00DD1CB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agreements</w:t>
      </w:r>
      <w:r w:rsidR="00A4566A"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A4566A">
        <w:rPr>
          <w:rFonts w:ascii="Times New Roman" w:hAnsi="Times New Roman" w:cs="Times New Roman" w:hint="eastAsia"/>
          <w:sz w:val="22"/>
        </w:rPr>
        <w:t>we</w:t>
      </w:r>
      <w:r w:rsidR="00A4566A">
        <w:rPr>
          <w:rFonts w:ascii="Times New Roman" w:hAnsi="Times New Roman" w:cs="Times New Roman"/>
          <w:sz w:val="22"/>
        </w:rPr>
        <w:t>’</w:t>
      </w:r>
      <w:r w:rsidR="00A4566A">
        <w:rPr>
          <w:rFonts w:ascii="Times New Roman" w:hAnsi="Times New Roman" w:cs="Times New Roman" w:hint="eastAsia"/>
          <w:sz w:val="22"/>
        </w:rPr>
        <w:t>d like to further discuss enhancements related to DL transmission in small</w:t>
      </w:r>
      <w:r w:rsidR="00D92D02">
        <w:rPr>
          <w:rFonts w:ascii="Times New Roman" w:hAnsi="Times New Roman" w:cs="Times New Roman" w:hint="eastAsia"/>
          <w:sz w:val="22"/>
        </w:rPr>
        <w:t xml:space="preserve"> </w:t>
      </w:r>
      <w:r w:rsidR="00A4566A">
        <w:rPr>
          <w:rFonts w:ascii="Times New Roman" w:hAnsi="Times New Roman" w:cs="Times New Roman" w:hint="eastAsia"/>
          <w:sz w:val="22"/>
        </w:rPr>
        <w:t>areas based on geographical areas.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1C52B7" w:rsidRDefault="00AC29A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</w:t>
      </w:r>
      <w:r w:rsidR="00A4566A">
        <w:rPr>
          <w:rFonts w:ascii="Times New Roman" w:hAnsi="Times New Roman" w:cs="Times New Roman" w:hint="eastAsia"/>
          <w:sz w:val="22"/>
        </w:rPr>
        <w:t>case of option 2 where non-overlapped local MBMS service area is assumed,</w:t>
      </w:r>
      <w:r>
        <w:rPr>
          <w:rFonts w:ascii="Times New Roman" w:hAnsi="Times New Roman" w:cs="Times New Roman"/>
          <w:sz w:val="22"/>
        </w:rPr>
        <w:t xml:space="preserve"> </w:t>
      </w:r>
      <w:r w:rsidR="00736E7C">
        <w:rPr>
          <w:rFonts w:ascii="Times New Roman" w:hAnsi="Times New Roman" w:cs="Times New Roman" w:hint="eastAsia"/>
          <w:sz w:val="22"/>
        </w:rPr>
        <w:t xml:space="preserve">a </w:t>
      </w:r>
      <w:r w:rsidR="00736E7C">
        <w:rPr>
          <w:rFonts w:ascii="Times New Roman" w:hAnsi="Times New Roman" w:cs="Times New Roman"/>
          <w:sz w:val="22"/>
        </w:rPr>
        <w:t>vehicle</w:t>
      </w:r>
      <w:r w:rsidR="00736E7C">
        <w:rPr>
          <w:rFonts w:ascii="Times New Roman" w:hAnsi="Times New Roman" w:cs="Times New Roman" w:hint="eastAsia"/>
          <w:sz w:val="22"/>
        </w:rPr>
        <w:t xml:space="preserve"> </w:t>
      </w:r>
      <w:r w:rsidR="00736E7C">
        <w:rPr>
          <w:rFonts w:ascii="Times New Roman" w:hAnsi="Times New Roman" w:cs="Times New Roman"/>
          <w:sz w:val="22"/>
        </w:rPr>
        <w:t xml:space="preserve">UE </w:t>
      </w:r>
      <w:r w:rsidR="00A4566A">
        <w:rPr>
          <w:rFonts w:ascii="Times New Roman" w:hAnsi="Times New Roman" w:cs="Times New Roman" w:hint="eastAsia"/>
          <w:sz w:val="22"/>
        </w:rPr>
        <w:t xml:space="preserve">may </w:t>
      </w:r>
      <w:r w:rsidR="00736E7C">
        <w:rPr>
          <w:rFonts w:ascii="Times New Roman" w:hAnsi="Times New Roman" w:cs="Times New Roman"/>
          <w:sz w:val="22"/>
        </w:rPr>
        <w:t xml:space="preserve">move from </w:t>
      </w:r>
      <w:r w:rsidR="00A4566A">
        <w:rPr>
          <w:rFonts w:ascii="Times New Roman" w:hAnsi="Times New Roman" w:cs="Times New Roman" w:hint="eastAsia"/>
          <w:sz w:val="22"/>
        </w:rPr>
        <w:t xml:space="preserve">a </w:t>
      </w:r>
      <w:r w:rsidR="00736E7C">
        <w:rPr>
          <w:rFonts w:ascii="Times New Roman" w:hAnsi="Times New Roman" w:cs="Times New Roman"/>
          <w:sz w:val="22"/>
        </w:rPr>
        <w:t xml:space="preserve">cell </w:t>
      </w:r>
      <w:r w:rsidR="001B1681">
        <w:rPr>
          <w:rFonts w:ascii="Times New Roman" w:hAnsi="Times New Roman" w:cs="Times New Roman" w:hint="eastAsia"/>
          <w:sz w:val="22"/>
        </w:rPr>
        <w:t xml:space="preserve">in service area A </w:t>
      </w:r>
      <w:r w:rsidR="00736E7C">
        <w:rPr>
          <w:rFonts w:ascii="Times New Roman" w:hAnsi="Times New Roman" w:cs="Times New Roman"/>
          <w:sz w:val="22"/>
        </w:rPr>
        <w:t xml:space="preserve">to </w:t>
      </w:r>
      <w:r w:rsidR="00A4566A">
        <w:rPr>
          <w:rFonts w:ascii="Times New Roman" w:hAnsi="Times New Roman" w:cs="Times New Roman" w:hint="eastAsia"/>
          <w:sz w:val="22"/>
        </w:rPr>
        <w:t xml:space="preserve">other </w:t>
      </w:r>
      <w:r w:rsidR="001B1681">
        <w:rPr>
          <w:rFonts w:ascii="Times New Roman" w:hAnsi="Times New Roman" w:cs="Times New Roman" w:hint="eastAsia"/>
          <w:sz w:val="22"/>
        </w:rPr>
        <w:t>cell in service area B</w:t>
      </w:r>
      <w:r w:rsidR="00D7188A">
        <w:rPr>
          <w:rFonts w:ascii="Times New Roman" w:hAnsi="Times New Roman" w:cs="Times New Roman" w:hint="eastAsia"/>
          <w:sz w:val="22"/>
        </w:rPr>
        <w:t xml:space="preserve"> whose MBMS channel configuration</w:t>
      </w:r>
      <w:r w:rsidR="00A4566A">
        <w:rPr>
          <w:rFonts w:ascii="Times New Roman" w:hAnsi="Times New Roman" w:cs="Times New Roman" w:hint="eastAsia"/>
          <w:sz w:val="22"/>
        </w:rPr>
        <w:t xml:space="preserve"> information is different from that of current service cell </w:t>
      </w:r>
      <w:r w:rsidR="00736E7C">
        <w:rPr>
          <w:rFonts w:ascii="Times New Roman" w:hAnsi="Times New Roman" w:cs="Times New Roman"/>
          <w:sz w:val="22"/>
        </w:rPr>
        <w:t>e.g., different MCCH Configuration and different MTCH</w:t>
      </w:r>
      <w:r w:rsidR="00A4566A">
        <w:rPr>
          <w:rFonts w:ascii="Times New Roman" w:hAnsi="Times New Roman" w:cs="Times New Roman" w:hint="eastAsia"/>
          <w:sz w:val="22"/>
        </w:rPr>
        <w:t xml:space="preserve">. </w:t>
      </w:r>
      <w:r w:rsidR="001B1681">
        <w:rPr>
          <w:rFonts w:ascii="Times New Roman" w:hAnsi="Times New Roman" w:cs="Times New Roman" w:hint="eastAsia"/>
          <w:sz w:val="22"/>
        </w:rPr>
        <w:t>The vehicle UE can get t</w:t>
      </w:r>
      <w:r w:rsidR="00A4566A">
        <w:rPr>
          <w:rFonts w:ascii="Times New Roman" w:hAnsi="Times New Roman" w:cs="Times New Roman" w:hint="eastAsia"/>
          <w:sz w:val="22"/>
        </w:rPr>
        <w:t xml:space="preserve">he MCCH configuration and MTCH </w:t>
      </w:r>
      <w:r w:rsidR="00316138">
        <w:rPr>
          <w:rFonts w:ascii="Times New Roman" w:hAnsi="Times New Roman" w:cs="Times New Roman"/>
          <w:sz w:val="22"/>
        </w:rPr>
        <w:t>configuration</w:t>
      </w:r>
      <w:r w:rsidR="00316138">
        <w:rPr>
          <w:rFonts w:ascii="Times New Roman" w:hAnsi="Times New Roman" w:cs="Times New Roman" w:hint="eastAsia"/>
          <w:sz w:val="22"/>
        </w:rPr>
        <w:t xml:space="preserve"> </w:t>
      </w:r>
      <w:r w:rsidR="001B1681">
        <w:rPr>
          <w:rFonts w:ascii="Times New Roman" w:hAnsi="Times New Roman" w:cs="Times New Roman" w:hint="eastAsia"/>
          <w:sz w:val="22"/>
        </w:rPr>
        <w:t xml:space="preserve">of </w:t>
      </w:r>
      <w:r w:rsidR="00D7188A">
        <w:rPr>
          <w:rFonts w:ascii="Times New Roman" w:hAnsi="Times New Roman" w:cs="Times New Roman" w:hint="eastAsia"/>
          <w:sz w:val="22"/>
        </w:rPr>
        <w:t>other cell in service area B</w:t>
      </w:r>
      <w:r w:rsidR="001B1681">
        <w:rPr>
          <w:rFonts w:ascii="Times New Roman" w:hAnsi="Times New Roman" w:cs="Times New Roman" w:hint="eastAsia"/>
          <w:sz w:val="22"/>
        </w:rPr>
        <w:t xml:space="preserve"> after moving </w:t>
      </w:r>
      <w:r w:rsidR="00D7188A">
        <w:rPr>
          <w:rFonts w:ascii="Times New Roman" w:hAnsi="Times New Roman" w:cs="Times New Roman" w:hint="eastAsia"/>
          <w:sz w:val="22"/>
        </w:rPr>
        <w:t xml:space="preserve">to the </w:t>
      </w:r>
      <w:r w:rsidR="00316138">
        <w:rPr>
          <w:rFonts w:ascii="Times New Roman" w:hAnsi="Times New Roman" w:cs="Times New Roman" w:hint="eastAsia"/>
          <w:sz w:val="22"/>
        </w:rPr>
        <w:t xml:space="preserve">other </w:t>
      </w:r>
      <w:r w:rsidR="00D7188A">
        <w:rPr>
          <w:rFonts w:ascii="Times New Roman" w:hAnsi="Times New Roman" w:cs="Times New Roman" w:hint="eastAsia"/>
          <w:sz w:val="22"/>
        </w:rPr>
        <w:t>cell by reading</w:t>
      </w:r>
      <w:r>
        <w:rPr>
          <w:rFonts w:ascii="Times New Roman" w:hAnsi="Times New Roman" w:cs="Times New Roman"/>
          <w:sz w:val="22"/>
        </w:rPr>
        <w:t xml:space="preserve"> </w:t>
      </w:r>
      <w:r w:rsidR="00A4566A">
        <w:rPr>
          <w:rFonts w:ascii="Times New Roman" w:hAnsi="Times New Roman" w:cs="Times New Roman" w:hint="eastAsia"/>
          <w:sz w:val="22"/>
        </w:rPr>
        <w:t>SIB 13</w:t>
      </w:r>
      <w:r w:rsidR="00736E7C">
        <w:rPr>
          <w:rFonts w:ascii="Times New Roman" w:hAnsi="Times New Roman" w:cs="Times New Roman"/>
          <w:sz w:val="22"/>
        </w:rPr>
        <w:t xml:space="preserve">. </w:t>
      </w:r>
      <w:r w:rsidR="00D7188A">
        <w:rPr>
          <w:rFonts w:ascii="Times New Roman" w:hAnsi="Times New Roman" w:cs="Times New Roman" w:hint="eastAsia"/>
          <w:sz w:val="22"/>
        </w:rPr>
        <w:t xml:space="preserve">It can cause delay to receive </w:t>
      </w:r>
      <w:r w:rsidR="00435799">
        <w:rPr>
          <w:rFonts w:ascii="Times New Roman" w:hAnsi="Times New Roman" w:cs="Times New Roman" w:hint="eastAsia"/>
          <w:sz w:val="22"/>
        </w:rPr>
        <w:t xml:space="preserve">V2X service in </w:t>
      </w:r>
      <w:r w:rsidR="00D7188A">
        <w:rPr>
          <w:rFonts w:ascii="Times New Roman" w:hAnsi="Times New Roman" w:cs="Times New Roman" w:hint="eastAsia"/>
          <w:sz w:val="22"/>
        </w:rPr>
        <w:t>service area B.</w:t>
      </w:r>
    </w:p>
    <w:p w:rsidR="001C52B7" w:rsidRDefault="001C52B7" w:rsidP="0053049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C52B7" w:rsidRPr="001C52B7" w:rsidRDefault="001845F0" w:rsidP="0053049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can refer to </w:t>
      </w:r>
      <w:r w:rsidR="001C52B7" w:rsidRPr="001C52B7">
        <w:rPr>
          <w:rFonts w:ascii="Times New Roman" w:hAnsi="Times New Roman" w:cs="Times New Roman"/>
          <w:sz w:val="22"/>
        </w:rPr>
        <w:t xml:space="preserve">the </w:t>
      </w:r>
      <w:r>
        <w:rPr>
          <w:rFonts w:ascii="Times New Roman" w:hAnsi="Times New Roman" w:cs="Times New Roman" w:hint="eastAsia"/>
          <w:sz w:val="22"/>
        </w:rPr>
        <w:t xml:space="preserve">expected </w:t>
      </w:r>
      <w:r w:rsidR="001C52B7" w:rsidRPr="001C52B7">
        <w:rPr>
          <w:rFonts w:ascii="Times New Roman" w:hAnsi="Times New Roman" w:cs="Times New Roman"/>
          <w:sz w:val="22"/>
        </w:rPr>
        <w:t xml:space="preserve">control plane latency due to mobility for MBSFN analyzed in </w:t>
      </w:r>
      <w:r w:rsidR="00AC29AA">
        <w:rPr>
          <w:rFonts w:ascii="Times New Roman" w:hAnsi="Times New Roman" w:cs="Times New Roman"/>
          <w:sz w:val="22"/>
        </w:rPr>
        <w:t xml:space="preserve">TR.36.885 </w:t>
      </w:r>
      <w:r w:rsidR="001C52B7" w:rsidRPr="001C52B7">
        <w:rPr>
          <w:rFonts w:ascii="Times New Roman" w:hAnsi="Times New Roman" w:cs="Times New Roman"/>
          <w:sz w:val="22"/>
        </w:rPr>
        <w:t>Table 9.2-1</w:t>
      </w:r>
      <w:r w:rsidR="001C52B7">
        <w:rPr>
          <w:rFonts w:ascii="Times New Roman" w:hAnsi="Times New Roman" w:cs="Times New Roman"/>
          <w:sz w:val="22"/>
        </w:rPr>
        <w:t>[</w:t>
      </w:r>
      <w:r w:rsidR="00D92D02">
        <w:rPr>
          <w:rFonts w:ascii="Times New Roman" w:hAnsi="Times New Roman" w:cs="Times New Roman" w:hint="eastAsia"/>
          <w:sz w:val="22"/>
        </w:rPr>
        <w:t>2</w:t>
      </w:r>
      <w:r w:rsidR="001C52B7">
        <w:rPr>
          <w:rFonts w:ascii="Times New Roman" w:hAnsi="Times New Roman" w:cs="Times New Roman"/>
          <w:sz w:val="22"/>
        </w:rPr>
        <w:t>]</w:t>
      </w:r>
      <w:r w:rsidR="001C52B7" w:rsidRPr="001C52B7">
        <w:rPr>
          <w:rFonts w:ascii="Times New Roman" w:hAnsi="Times New Roman" w:cs="Times New Roman"/>
          <w:sz w:val="22"/>
        </w:rPr>
        <w:t>.</w:t>
      </w:r>
    </w:p>
    <w:p w:rsidR="001C52B7" w:rsidRPr="007A6C57" w:rsidRDefault="001C52B7" w:rsidP="001C52B7">
      <w:pPr>
        <w:pStyle w:val="TH"/>
        <w:rPr>
          <w:rFonts w:eastAsiaTheme="minorEastAsia"/>
          <w:lang w:eastAsia="ko-KR"/>
        </w:rPr>
      </w:pPr>
      <w:r w:rsidRPr="00E875ED">
        <w:rPr>
          <w:lang w:eastAsia="ko-KR"/>
        </w:rPr>
        <w:lastRenderedPageBreak/>
        <w:t xml:space="preserve">Table </w:t>
      </w:r>
      <w:r w:rsidRPr="001127E3">
        <w:rPr>
          <w:rFonts w:eastAsia="맑은 고딕" w:hint="eastAsia"/>
          <w:lang w:eastAsia="ko-KR"/>
        </w:rPr>
        <w:t>9</w:t>
      </w:r>
      <w:r w:rsidRPr="00E875ED">
        <w:rPr>
          <w:rFonts w:hint="eastAsia"/>
          <w:lang w:eastAsia="zh-CN"/>
        </w:rPr>
        <w:t>.2-</w:t>
      </w:r>
      <w:r w:rsidRPr="001127E3">
        <w:rPr>
          <w:rFonts w:eastAsia="맑은 고딕" w:hint="eastAsia"/>
          <w:lang w:eastAsia="ko-KR"/>
        </w:rPr>
        <w:t>1</w:t>
      </w:r>
      <w:r w:rsidRPr="00E875ED">
        <w:rPr>
          <w:lang w:eastAsia="ko-KR"/>
        </w:rPr>
        <w:t>: Average and worst case (in brackets) of MBSFN control plane delay for mobility between MBSFN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1361"/>
        <w:gridCol w:w="1531"/>
        <w:gridCol w:w="4472"/>
      </w:tblGrid>
      <w:tr w:rsidR="001C52B7" w:rsidRPr="00E875ED" w:rsidTr="00215ED1">
        <w:trPr>
          <w:cantSplit/>
          <w:jc w:val="center"/>
        </w:trPr>
        <w:tc>
          <w:tcPr>
            <w:tcW w:w="1478" w:type="dxa"/>
            <w:shd w:val="clear" w:color="auto" w:fill="E0E0E0"/>
            <w:vAlign w:val="center"/>
          </w:tcPr>
          <w:p w:rsidR="001C52B7" w:rsidRPr="00E875ED" w:rsidRDefault="001C52B7" w:rsidP="00215ED1">
            <w:pPr>
              <w:pStyle w:val="TAH"/>
            </w:pPr>
          </w:p>
        </w:tc>
        <w:tc>
          <w:tcPr>
            <w:tcW w:w="1361" w:type="dxa"/>
            <w:shd w:val="clear" w:color="auto" w:fill="E0E0E0"/>
          </w:tcPr>
          <w:p w:rsidR="001C52B7" w:rsidRPr="00E875ED" w:rsidRDefault="001C52B7" w:rsidP="00215ED1">
            <w:pPr>
              <w:pStyle w:val="TAH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Rel-13 values</w:t>
            </w:r>
          </w:p>
        </w:tc>
        <w:tc>
          <w:tcPr>
            <w:tcW w:w="1531" w:type="dxa"/>
            <w:shd w:val="clear" w:color="auto" w:fill="E0E0E0"/>
          </w:tcPr>
          <w:p w:rsidR="001C52B7" w:rsidRPr="00E875ED" w:rsidRDefault="001C52B7" w:rsidP="00215ED1">
            <w:pPr>
              <w:pStyle w:val="TAH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Possible shorten values in Rel-14</w:t>
            </w:r>
          </w:p>
        </w:tc>
        <w:tc>
          <w:tcPr>
            <w:tcW w:w="4472" w:type="dxa"/>
            <w:shd w:val="clear" w:color="auto" w:fill="E0E0E0"/>
            <w:vAlign w:val="center"/>
          </w:tcPr>
          <w:p w:rsidR="001C52B7" w:rsidRPr="00E875ED" w:rsidRDefault="001C52B7" w:rsidP="00215ED1">
            <w:pPr>
              <w:pStyle w:val="TAH"/>
            </w:pPr>
            <w:r w:rsidRPr="00E875ED">
              <w:t>Comments</w:t>
            </w: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lang w:eastAsia="zh-CN"/>
              </w:rPr>
              <w:t>MIB/SIB1</w:t>
            </w:r>
            <w:r w:rsidRPr="00E875ED">
              <w:rPr>
                <w:rFonts w:hint="eastAsia"/>
              </w:rPr>
              <w:t xml:space="preserve"> reading delay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30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30</w:t>
            </w:r>
          </w:p>
        </w:tc>
        <w:tc>
          <w:tcPr>
            <w:tcW w:w="4472" w:type="dxa"/>
          </w:tcPr>
          <w:p w:rsidR="001C52B7" w:rsidRPr="00E875ED" w:rsidRDefault="00316138" w:rsidP="00316138">
            <w:pPr>
              <w:pStyle w:val="TAL"/>
            </w:pPr>
            <w:r>
              <w:rPr>
                <w:rFonts w:eastAsiaTheme="minorEastAsia" w:hint="eastAsia"/>
                <w:lang w:eastAsia="ko-KR"/>
              </w:rPr>
              <w:t>T</w:t>
            </w:r>
            <w:r w:rsidR="001C52B7" w:rsidRPr="00E875ED">
              <w:rPr>
                <w:rFonts w:hint="eastAsia"/>
              </w:rPr>
              <w:t xml:space="preserve">he </w:t>
            </w:r>
            <w:r w:rsidR="001C52B7" w:rsidRPr="00E875ED">
              <w:t>acquisition</w:t>
            </w:r>
            <w:r w:rsidR="001C52B7" w:rsidRPr="00E875ED">
              <w:rPr>
                <w:rFonts w:hint="eastAsia"/>
              </w:rPr>
              <w:t xml:space="preserve"> of target cell MIB</w:t>
            </w:r>
            <w:r w:rsidR="001C52B7" w:rsidRPr="00E875ED">
              <w:rPr>
                <w:rFonts w:hint="eastAsia"/>
                <w:lang w:eastAsia="zh-CN"/>
              </w:rPr>
              <w:t xml:space="preserve"> and </w:t>
            </w:r>
            <w:r w:rsidR="001C52B7" w:rsidRPr="00E875ED">
              <w:rPr>
                <w:rFonts w:hint="eastAsia"/>
              </w:rPr>
              <w:t>S</w:t>
            </w:r>
            <w:r w:rsidR="001C52B7" w:rsidRPr="00E875ED">
              <w:t>IB1</w:t>
            </w: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</w:rPr>
              <w:t>SIB</w:t>
            </w:r>
            <w:r w:rsidRPr="00E875ED">
              <w:t>13</w:t>
            </w:r>
            <w:r w:rsidRPr="00E875ED">
              <w:rPr>
                <w:rFonts w:hint="eastAsia"/>
              </w:rPr>
              <w:t xml:space="preserve"> reading delay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</w:rPr>
              <w:t>40 (80)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</w:rPr>
              <w:t>40 (80)</w:t>
            </w:r>
          </w:p>
        </w:tc>
        <w:tc>
          <w:tcPr>
            <w:tcW w:w="4472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</w:rPr>
              <w:t xml:space="preserve">Assuming the scheduling </w:t>
            </w:r>
            <w:r w:rsidRPr="00E875ED">
              <w:t>periodicity</w:t>
            </w:r>
            <w:r w:rsidRPr="00E875ED">
              <w:rPr>
                <w:rFonts w:hint="eastAsia"/>
              </w:rPr>
              <w:t xml:space="preserve"> of the SIB</w:t>
            </w:r>
            <w:r w:rsidRPr="00E875ED">
              <w:t>13</w:t>
            </w:r>
            <w:r w:rsidRPr="00E875ED">
              <w:rPr>
                <w:rFonts w:hint="eastAsia"/>
              </w:rPr>
              <w:t xml:space="preserve"> is 80ms.</w:t>
            </w: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>Acquisition of MCCH configuration from SIB13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10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</w:rPr>
              <w:t>10</w:t>
            </w:r>
          </w:p>
        </w:tc>
        <w:tc>
          <w:tcPr>
            <w:tcW w:w="4472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>Processing delay at the UE</w:t>
            </w: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>Delay due to MCCH scheduling period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</w:pPr>
            <w:r w:rsidRPr="00E875ED">
              <w:t>160 (320)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  <w:lang w:eastAsia="zh-CN"/>
              </w:rPr>
              <w:t>10</w:t>
            </w:r>
            <w:r w:rsidRPr="00E875ED">
              <w:t xml:space="preserve"> (</w:t>
            </w:r>
            <w:r w:rsidRPr="00E875ED">
              <w:rPr>
                <w:rFonts w:hint="eastAsia"/>
                <w:lang w:eastAsia="zh-CN"/>
              </w:rPr>
              <w:t>20</w:t>
            </w:r>
            <w:r w:rsidRPr="00E875ED">
              <w:t>)</w:t>
            </w:r>
          </w:p>
        </w:tc>
        <w:tc>
          <w:tcPr>
            <w:tcW w:w="4472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>For MCCH Repetition period of 320ms</w:t>
            </w:r>
            <w:r w:rsidRPr="00E875ED">
              <w:rPr>
                <w:rFonts w:hint="eastAsia"/>
                <w:lang w:eastAsia="zh-CN"/>
              </w:rPr>
              <w:t xml:space="preserve"> (Rel-13 value) and 20ms (possible shorten value)</w:t>
            </w:r>
            <w:r w:rsidRPr="00E875ED">
              <w:t xml:space="preserve">. </w:t>
            </w: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 xml:space="preserve">Acquisition of MCCH and MTCH configuration for TMGI 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10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  <w:rPr>
                <w:lang w:eastAsia="zh-CN"/>
              </w:rPr>
            </w:pPr>
            <w:r w:rsidRPr="00E875ED">
              <w:rPr>
                <w:rFonts w:hint="eastAsia"/>
                <w:lang w:eastAsia="zh-CN"/>
              </w:rPr>
              <w:t>10</w:t>
            </w:r>
          </w:p>
        </w:tc>
        <w:tc>
          <w:tcPr>
            <w:tcW w:w="4472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>Processing delay at the UE</w:t>
            </w:r>
          </w:p>
          <w:p w:rsidR="001C52B7" w:rsidRPr="00E875ED" w:rsidRDefault="001C52B7" w:rsidP="00215ED1">
            <w:pPr>
              <w:pStyle w:val="TAL"/>
            </w:pP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  <w:vAlign w:val="center"/>
          </w:tcPr>
          <w:p w:rsidR="001C52B7" w:rsidRPr="00E875ED" w:rsidRDefault="001C52B7" w:rsidP="00215ED1">
            <w:pPr>
              <w:pStyle w:val="TAL"/>
            </w:pPr>
            <w:r w:rsidRPr="00E875ED">
              <w:t>Time required if acquisition of multiple MCCHs is required.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</w:pPr>
            <w:r w:rsidRPr="00E875ED">
              <w:t>50 (100)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</w:pPr>
            <w:r w:rsidRPr="00E875ED">
              <w:rPr>
                <w:rFonts w:hint="eastAsia"/>
                <w:lang w:eastAsia="zh-CN"/>
              </w:rPr>
              <w:t>10</w:t>
            </w:r>
            <w:r w:rsidRPr="00E875ED">
              <w:t xml:space="preserve"> (</w:t>
            </w:r>
            <w:r w:rsidRPr="00E875ED">
              <w:rPr>
                <w:rFonts w:hint="eastAsia"/>
                <w:lang w:eastAsia="zh-CN"/>
              </w:rPr>
              <w:t>20</w:t>
            </w:r>
            <w:r w:rsidRPr="00E875ED">
              <w:t>)</w:t>
            </w:r>
          </w:p>
        </w:tc>
        <w:tc>
          <w:tcPr>
            <w:tcW w:w="4472" w:type="dxa"/>
            <w:vAlign w:val="center"/>
          </w:tcPr>
          <w:p w:rsidR="001C52B7" w:rsidRPr="00E875ED" w:rsidRDefault="001C52B7" w:rsidP="00215ED1">
            <w:pPr>
              <w:pStyle w:val="TAL"/>
              <w:rPr>
                <w:lang w:eastAsia="zh-CN"/>
              </w:rPr>
            </w:pPr>
            <w:r w:rsidRPr="00E875ED">
              <w:t>Maximum MCCH offset value is 100ms</w:t>
            </w:r>
            <w:r w:rsidRPr="00E875ED">
              <w:rPr>
                <w:rFonts w:hint="eastAsia"/>
                <w:lang w:eastAsia="zh-CN"/>
              </w:rPr>
              <w:t xml:space="preserve"> (Rel-13 value) or 20ms (possible shorten value)</w:t>
            </w:r>
            <w:r w:rsidRPr="00E875ED">
              <w:t xml:space="preserve">. </w:t>
            </w:r>
          </w:p>
          <w:p w:rsidR="001C52B7" w:rsidRPr="00E875ED" w:rsidRDefault="001C52B7" w:rsidP="00215ED1">
            <w:pPr>
              <w:pStyle w:val="TAL"/>
            </w:pPr>
            <w:r w:rsidRPr="00E875ED">
              <w:t xml:space="preserve">It is assumed that multiple MCCH is </w:t>
            </w:r>
            <w:r w:rsidRPr="00E875ED">
              <w:rPr>
                <w:rFonts w:hint="eastAsia"/>
                <w:lang w:eastAsia="zh-CN"/>
              </w:rPr>
              <w:t>read</w:t>
            </w:r>
            <w:r w:rsidRPr="00E875ED">
              <w:t xml:space="preserve"> in parallel</w:t>
            </w:r>
          </w:p>
        </w:tc>
      </w:tr>
      <w:tr w:rsidR="001C52B7" w:rsidRPr="00E875ED" w:rsidTr="00215ED1">
        <w:trPr>
          <w:cantSplit/>
          <w:jc w:val="center"/>
        </w:trPr>
        <w:tc>
          <w:tcPr>
            <w:tcW w:w="1478" w:type="dxa"/>
            <w:vAlign w:val="center"/>
          </w:tcPr>
          <w:p w:rsidR="001C52B7" w:rsidRPr="00E875ED" w:rsidRDefault="001C52B7" w:rsidP="00215ED1">
            <w:pPr>
              <w:pStyle w:val="TAL"/>
              <w:rPr>
                <w:b/>
              </w:rPr>
            </w:pPr>
            <w:r w:rsidRPr="00E875ED">
              <w:rPr>
                <w:b/>
              </w:rPr>
              <w:t>Total time</w:t>
            </w:r>
          </w:p>
        </w:tc>
        <w:tc>
          <w:tcPr>
            <w:tcW w:w="1361" w:type="dxa"/>
          </w:tcPr>
          <w:p w:rsidR="001C52B7" w:rsidRPr="00E875ED" w:rsidRDefault="001C52B7" w:rsidP="00215ED1">
            <w:pPr>
              <w:pStyle w:val="TAL"/>
              <w:rPr>
                <w:b/>
                <w:lang w:eastAsia="zh-CN"/>
              </w:rPr>
            </w:pPr>
            <w:r w:rsidRPr="00E875ED">
              <w:rPr>
                <w:rFonts w:hint="eastAsia"/>
                <w:b/>
                <w:lang w:eastAsia="zh-CN"/>
              </w:rPr>
              <w:t>300 (550)</w:t>
            </w:r>
          </w:p>
        </w:tc>
        <w:tc>
          <w:tcPr>
            <w:tcW w:w="1531" w:type="dxa"/>
          </w:tcPr>
          <w:p w:rsidR="001C52B7" w:rsidRPr="00E875ED" w:rsidRDefault="001C52B7" w:rsidP="00215ED1">
            <w:pPr>
              <w:pStyle w:val="TAL"/>
              <w:rPr>
                <w:b/>
                <w:lang w:eastAsia="zh-CN"/>
              </w:rPr>
            </w:pPr>
            <w:r w:rsidRPr="00E875ED">
              <w:rPr>
                <w:rFonts w:hint="eastAsia"/>
                <w:b/>
                <w:lang w:eastAsia="zh-CN"/>
              </w:rPr>
              <w:t>110 (170)</w:t>
            </w:r>
          </w:p>
        </w:tc>
        <w:tc>
          <w:tcPr>
            <w:tcW w:w="4472" w:type="dxa"/>
            <w:vAlign w:val="center"/>
          </w:tcPr>
          <w:p w:rsidR="001C52B7" w:rsidRPr="00E875ED" w:rsidRDefault="001C52B7" w:rsidP="00215ED1">
            <w:pPr>
              <w:pStyle w:val="TAL"/>
              <w:rPr>
                <w:b/>
              </w:rPr>
            </w:pPr>
          </w:p>
        </w:tc>
      </w:tr>
    </w:tbl>
    <w:p w:rsidR="003148E9" w:rsidRDefault="003148E9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C5CFA" w:rsidRDefault="0067332A" w:rsidP="007A6C57">
      <w:pPr>
        <w:pStyle w:val="a6"/>
        <w:spacing w:line="312" w:lineRule="auto"/>
        <w:ind w:firstLineChars="50" w:firstLine="11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in Table 9.2-1, </w:t>
      </w:r>
      <w:r w:rsidR="00E367FC">
        <w:rPr>
          <w:rFonts w:ascii="Times New Roman" w:hAnsi="Times New Roman" w:cs="Times New Roman" w:hint="eastAsia"/>
          <w:sz w:val="22"/>
        </w:rPr>
        <w:t xml:space="preserve">the control plane latency may be a problem for V2X in </w:t>
      </w:r>
      <w:r w:rsidR="00E367FC">
        <w:rPr>
          <w:rFonts w:ascii="Times New Roman" w:hAnsi="Times New Roman" w:cs="Times New Roman"/>
          <w:sz w:val="22"/>
        </w:rPr>
        <w:t>small</w:t>
      </w:r>
      <w:r w:rsidR="00E367FC">
        <w:rPr>
          <w:rFonts w:ascii="Times New Roman" w:hAnsi="Times New Roman" w:cs="Times New Roman" w:hint="eastAsia"/>
          <w:sz w:val="22"/>
        </w:rPr>
        <w:t xml:space="preserve"> MBSFN areas.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E367FC">
        <w:rPr>
          <w:rFonts w:ascii="Times New Roman" w:hAnsi="Times New Roman" w:cs="Times New Roman" w:hint="eastAsia"/>
          <w:sz w:val="22"/>
        </w:rPr>
        <w:t xml:space="preserve">The </w:t>
      </w:r>
      <w:r w:rsidR="00E367FC">
        <w:rPr>
          <w:rFonts w:ascii="Times New Roman" w:hAnsi="Times New Roman" w:cs="Times New Roman"/>
          <w:sz w:val="22"/>
        </w:rPr>
        <w:t>shorter</w:t>
      </w:r>
      <w:r w:rsidR="00E367FC">
        <w:rPr>
          <w:rFonts w:ascii="Times New Roman" w:hAnsi="Times New Roman" w:cs="Times New Roman" w:hint="eastAsia"/>
          <w:sz w:val="22"/>
        </w:rPr>
        <w:t xml:space="preserve"> value</w:t>
      </w:r>
      <w:r w:rsidR="00F56514">
        <w:rPr>
          <w:rFonts w:ascii="Times New Roman" w:hAnsi="Times New Roman" w:cs="Times New Roman" w:hint="eastAsia"/>
          <w:sz w:val="22"/>
        </w:rPr>
        <w:t xml:space="preserve"> for MCCH</w:t>
      </w:r>
      <w:r w:rsidR="00E367FC">
        <w:rPr>
          <w:rFonts w:ascii="Times New Roman" w:hAnsi="Times New Roman" w:cs="Times New Roman" w:hint="eastAsia"/>
          <w:sz w:val="22"/>
        </w:rPr>
        <w:t xml:space="preserve"> agreed in RAN2#95bis meeting </w:t>
      </w:r>
      <w:r w:rsidR="00F56514">
        <w:rPr>
          <w:rFonts w:ascii="Times New Roman" w:hAnsi="Times New Roman" w:cs="Times New Roman" w:hint="eastAsia"/>
          <w:sz w:val="22"/>
        </w:rPr>
        <w:t>can reduce the latency but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CC19AD">
        <w:rPr>
          <w:rFonts w:ascii="Times New Roman" w:hAnsi="Times New Roman" w:cs="Times New Roman"/>
          <w:sz w:val="22"/>
        </w:rPr>
        <w:t>the</w:t>
      </w:r>
      <w:r w:rsidR="00D92D02" w:rsidRPr="00D92D02">
        <w:rPr>
          <w:rFonts w:ascii="Times New Roman" w:hAnsi="Times New Roman" w:cs="Times New Roman"/>
          <w:sz w:val="22"/>
        </w:rPr>
        <w:t xml:space="preserve"> end to end latency requirement (100</w:t>
      </w:r>
      <w:r w:rsidR="004860A9">
        <w:rPr>
          <w:rFonts w:ascii="Times New Roman" w:hAnsi="Times New Roman" w:cs="Times New Roman"/>
          <w:sz w:val="22"/>
        </w:rPr>
        <w:t xml:space="preserve"> ms) considering both user</w:t>
      </w:r>
      <w:r w:rsidR="004860A9">
        <w:rPr>
          <w:rFonts w:ascii="Times New Roman" w:hAnsi="Times New Roman" w:cs="Times New Roman" w:hint="eastAsia"/>
          <w:sz w:val="22"/>
        </w:rPr>
        <w:t xml:space="preserve"> plane and </w:t>
      </w:r>
      <w:r w:rsidR="00D92D02" w:rsidRPr="00D92D02">
        <w:rPr>
          <w:rFonts w:ascii="Times New Roman" w:hAnsi="Times New Roman" w:cs="Times New Roman"/>
          <w:sz w:val="22"/>
        </w:rPr>
        <w:t>control plane</w:t>
      </w:r>
      <w:r w:rsidR="00F56514">
        <w:rPr>
          <w:rFonts w:ascii="Times New Roman" w:hAnsi="Times New Roman" w:cs="Times New Roman" w:hint="eastAsia"/>
          <w:sz w:val="22"/>
        </w:rPr>
        <w:t xml:space="preserve"> cannot be met</w:t>
      </w:r>
      <w:r w:rsidR="005F3597">
        <w:rPr>
          <w:rFonts w:ascii="Times New Roman" w:hAnsi="Times New Roman" w:cs="Times New Roman"/>
          <w:sz w:val="22"/>
        </w:rPr>
        <w:t>.</w:t>
      </w:r>
    </w:p>
    <w:p w:rsidR="008C5CFA" w:rsidRPr="003111DA" w:rsidRDefault="008C5CFA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C5CFA" w:rsidRDefault="00F56514" w:rsidP="008C5CFA">
      <w:pPr>
        <w:pStyle w:val="Observation"/>
      </w:pPr>
      <w:bookmarkStart w:id="1" w:name="_Toc449907544"/>
      <w:bookmarkStart w:id="2" w:name="_Toc449993527"/>
      <w:bookmarkStart w:id="3" w:name="_Toc450402128"/>
      <w:bookmarkStart w:id="4" w:name="_Toc450402150"/>
      <w:bookmarkStart w:id="5" w:name="_Toc450556701"/>
      <w:bookmarkStart w:id="6" w:name="_Toc450941109"/>
      <w:bookmarkStart w:id="7" w:name="_Toc450946062"/>
      <w:bookmarkStart w:id="8" w:name="_Toc458772527"/>
      <w:bookmarkStart w:id="9" w:name="_Toc458772545"/>
      <w:bookmarkStart w:id="10" w:name="_Toc458807498"/>
      <w:bookmarkStart w:id="11" w:name="_Toc458807510"/>
      <w:bookmarkStart w:id="12" w:name="_Toc463026797"/>
      <w:bookmarkStart w:id="13" w:name="_Toc463026821"/>
      <w:bookmarkStart w:id="14" w:name="_Toc463046067"/>
      <w:bookmarkStart w:id="15" w:name="_Toc463046158"/>
      <w:bookmarkStart w:id="16" w:name="_Toc463050999"/>
      <w:r>
        <w:rPr>
          <w:rFonts w:eastAsiaTheme="minorEastAsia" w:hint="eastAsia"/>
          <w:lang w:eastAsia="ko-KR"/>
        </w:rPr>
        <w:t xml:space="preserve">Latency requirement for V2X in small MBSFN area cannot be supported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8C5CFA">
        <w:rPr>
          <w:rFonts w:eastAsia="SimSun"/>
        </w:rPr>
        <w:t>in case of mobility</w:t>
      </w:r>
      <w:r>
        <w:rPr>
          <w:rFonts w:eastAsiaTheme="minorEastAsia" w:hint="eastAsia"/>
          <w:lang w:eastAsia="ko-KR"/>
        </w:rPr>
        <w:t xml:space="preserve"> between different service areas</w:t>
      </w:r>
      <w:r w:rsidR="008C5CFA">
        <w:rPr>
          <w:rFonts w:eastAsia="SimSun"/>
        </w:rPr>
        <w:t>.</w:t>
      </w:r>
      <w:bookmarkEnd w:id="16"/>
      <w:r w:rsidR="008C5CFA" w:rsidRPr="009F6A3A">
        <w:rPr>
          <w:rFonts w:eastAsia="SimSun" w:hint="eastAsia"/>
        </w:rPr>
        <w:t xml:space="preserve"> </w:t>
      </w:r>
    </w:p>
    <w:p w:rsidR="003148E9" w:rsidRPr="007C7B38" w:rsidRDefault="003148E9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</w:p>
    <w:p w:rsidR="00813F07" w:rsidRDefault="003111DA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To </w:t>
      </w:r>
      <w:r w:rsidR="00B46276">
        <w:rPr>
          <w:rFonts w:ascii="Times New Roman" w:hAnsi="Times New Roman" w:cs="Times New Roman" w:hint="eastAsia"/>
          <w:sz w:val="22"/>
          <w:lang w:val="en-GB"/>
        </w:rPr>
        <w:t xml:space="preserve">reduce latency in case of mobility </w:t>
      </w:r>
      <w:r>
        <w:rPr>
          <w:rFonts w:ascii="Times New Roman" w:hAnsi="Times New Roman" w:cs="Times New Roman" w:hint="eastAsia"/>
          <w:sz w:val="22"/>
          <w:lang w:val="en-GB"/>
        </w:rPr>
        <w:t>between</w:t>
      </w:r>
      <w:r w:rsidR="00813F07">
        <w:rPr>
          <w:rFonts w:ascii="Times New Roman" w:hAnsi="Times New Roman" w:cs="Times New Roman" w:hint="eastAsia"/>
          <w:sz w:val="22"/>
          <w:lang w:val="en-GB"/>
        </w:rPr>
        <w:t xml:space="preserve"> different service areas,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316138">
        <w:rPr>
          <w:rFonts w:ascii="Times New Roman" w:hAnsi="Times New Roman" w:cs="Times New Roman" w:hint="eastAsia"/>
          <w:sz w:val="22"/>
          <w:lang w:val="en-GB"/>
        </w:rPr>
        <w:t xml:space="preserve">one </w:t>
      </w:r>
      <w:r w:rsidR="00BB14E2">
        <w:rPr>
          <w:rFonts w:ascii="Times New Roman" w:hAnsi="Times New Roman" w:cs="Times New Roman"/>
          <w:sz w:val="22"/>
          <w:lang w:val="en-GB"/>
        </w:rPr>
        <w:t xml:space="preserve">option is to make </w:t>
      </w:r>
      <w:r w:rsidR="00316138">
        <w:rPr>
          <w:rFonts w:ascii="Times New Roman" w:hAnsi="Times New Roman" w:cs="Times New Roman" w:hint="eastAsia"/>
          <w:sz w:val="22"/>
          <w:lang w:val="en-GB"/>
        </w:rPr>
        <w:t xml:space="preserve">the period of </w:t>
      </w:r>
      <w:r w:rsidR="00132286">
        <w:rPr>
          <w:rFonts w:ascii="Times New Roman" w:hAnsi="Times New Roman" w:cs="Times New Roman"/>
          <w:sz w:val="22"/>
          <w:lang w:val="en-GB"/>
        </w:rPr>
        <w:t>s</w:t>
      </w:r>
      <w:r w:rsidR="00BB14E2">
        <w:rPr>
          <w:rFonts w:ascii="Times New Roman" w:hAnsi="Times New Roman" w:cs="Times New Roman"/>
          <w:sz w:val="22"/>
          <w:lang w:val="en-GB"/>
        </w:rPr>
        <w:t xml:space="preserve">ystem information </w:t>
      </w:r>
      <w:r w:rsidR="00B46276">
        <w:rPr>
          <w:rFonts w:ascii="Times New Roman" w:hAnsi="Times New Roman" w:cs="Times New Roman" w:hint="eastAsia"/>
          <w:sz w:val="22"/>
          <w:lang w:val="en-GB"/>
        </w:rPr>
        <w:t>for MBSFN (i.e., SIB 13) shorter</w:t>
      </w:r>
      <w:r w:rsidR="00BB14E2">
        <w:rPr>
          <w:rFonts w:ascii="Times New Roman" w:hAnsi="Times New Roman" w:cs="Times New Roman"/>
          <w:sz w:val="22"/>
          <w:lang w:val="en-GB"/>
        </w:rPr>
        <w:t>. It is simple</w:t>
      </w:r>
      <w:r w:rsidR="007C7B38">
        <w:rPr>
          <w:rFonts w:ascii="Times New Roman" w:hAnsi="Times New Roman" w:cs="Times New Roman"/>
          <w:sz w:val="22"/>
          <w:lang w:val="en-GB"/>
        </w:rPr>
        <w:t>, b</w:t>
      </w:r>
      <w:r w:rsidR="00BB14E2">
        <w:rPr>
          <w:rFonts w:ascii="Times New Roman" w:hAnsi="Times New Roman" w:cs="Times New Roman"/>
          <w:sz w:val="22"/>
          <w:lang w:val="en-GB"/>
        </w:rPr>
        <w:t xml:space="preserve">ut it </w:t>
      </w:r>
      <w:r w:rsidR="00B46276">
        <w:rPr>
          <w:rFonts w:ascii="Times New Roman" w:hAnsi="Times New Roman" w:cs="Times New Roman" w:hint="eastAsia"/>
          <w:sz w:val="22"/>
          <w:lang w:val="en-GB"/>
        </w:rPr>
        <w:t>may</w:t>
      </w:r>
      <w:r w:rsidR="00132286">
        <w:rPr>
          <w:rFonts w:ascii="Times New Roman" w:hAnsi="Times New Roman" w:cs="Times New Roman"/>
          <w:sz w:val="22"/>
          <w:lang w:val="en-GB"/>
        </w:rPr>
        <w:t xml:space="preserve"> increase system overhead. </w:t>
      </w:r>
    </w:p>
    <w:p w:rsidR="00BB14E2" w:rsidRDefault="00B46276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Another</w:t>
      </w:r>
      <w:r w:rsidR="00BB14E2">
        <w:rPr>
          <w:rFonts w:ascii="Times New Roman" w:hAnsi="Times New Roman" w:cs="Times New Roman"/>
          <w:sz w:val="22"/>
          <w:lang w:val="en-GB"/>
        </w:rPr>
        <w:t xml:space="preserve"> option is </w:t>
      </w:r>
      <w:r>
        <w:rPr>
          <w:rFonts w:ascii="Times New Roman" w:hAnsi="Times New Roman" w:cs="Times New Roman" w:hint="eastAsia"/>
          <w:sz w:val="22"/>
          <w:lang w:val="en-GB"/>
        </w:rPr>
        <w:t xml:space="preserve">to provide </w:t>
      </w:r>
      <w:r w:rsidR="00BB14E2">
        <w:rPr>
          <w:rFonts w:ascii="Times New Roman" w:hAnsi="Times New Roman" w:cs="Times New Roman"/>
          <w:sz w:val="22"/>
          <w:lang w:val="en-GB"/>
        </w:rPr>
        <w:t xml:space="preserve">system information </w:t>
      </w:r>
      <w:r>
        <w:rPr>
          <w:rFonts w:ascii="Times New Roman" w:hAnsi="Times New Roman" w:cs="Times New Roman" w:hint="eastAsia"/>
          <w:sz w:val="22"/>
          <w:lang w:val="en-GB"/>
        </w:rPr>
        <w:t xml:space="preserve">of other service area whose configuration is different from current service area via </w:t>
      </w:r>
      <w:r w:rsidR="00BB14E2">
        <w:rPr>
          <w:rFonts w:ascii="Times New Roman" w:hAnsi="Times New Roman" w:cs="Times New Roman"/>
          <w:sz w:val="22"/>
          <w:lang w:val="en-GB"/>
        </w:rPr>
        <w:t>serving cell</w:t>
      </w:r>
      <w:r w:rsidR="007C7B38">
        <w:rPr>
          <w:rFonts w:ascii="Times New Roman" w:hAnsi="Times New Roman" w:cs="Times New Roman"/>
          <w:sz w:val="22"/>
          <w:lang w:val="en-GB"/>
        </w:rPr>
        <w:t>.</w:t>
      </w:r>
      <w:r w:rsidR="00132286">
        <w:rPr>
          <w:rFonts w:ascii="Times New Roman" w:hAnsi="Times New Roman" w:cs="Times New Roman"/>
          <w:sz w:val="22"/>
          <w:lang w:val="en-GB"/>
        </w:rPr>
        <w:t xml:space="preserve"> </w:t>
      </w:r>
      <w:r w:rsidR="00485C0B">
        <w:rPr>
          <w:rFonts w:ascii="Times New Roman" w:hAnsi="Times New Roman" w:cs="Times New Roman"/>
          <w:sz w:val="22"/>
          <w:lang w:val="en-GB"/>
        </w:rPr>
        <w:t>When</w:t>
      </w:r>
      <w:r w:rsidR="00132286">
        <w:rPr>
          <w:rFonts w:ascii="Times New Roman" w:hAnsi="Times New Roman" w:cs="Times New Roman"/>
          <w:sz w:val="22"/>
          <w:lang w:val="en-GB"/>
        </w:rPr>
        <w:t xml:space="preserve"> </w:t>
      </w:r>
      <w:r w:rsidR="00BB60D7">
        <w:rPr>
          <w:rFonts w:ascii="Times New Roman" w:hAnsi="Times New Roman" w:cs="Times New Roman" w:hint="eastAsia"/>
          <w:sz w:val="22"/>
          <w:lang w:val="en-GB"/>
        </w:rPr>
        <w:t xml:space="preserve">UE is </w:t>
      </w:r>
      <w:r w:rsidR="00132286">
        <w:rPr>
          <w:rFonts w:ascii="Times New Roman" w:hAnsi="Times New Roman" w:cs="Times New Roman"/>
          <w:sz w:val="22"/>
          <w:lang w:val="en-GB"/>
        </w:rPr>
        <w:t>changing service cell</w:t>
      </w:r>
      <w:r>
        <w:rPr>
          <w:rFonts w:ascii="Times New Roman" w:hAnsi="Times New Roman" w:cs="Times New Roman" w:hint="eastAsia"/>
          <w:sz w:val="22"/>
          <w:lang w:val="en-GB"/>
        </w:rPr>
        <w:t xml:space="preserve"> to other cell in other service area</w:t>
      </w:r>
      <w:r w:rsidR="00132286">
        <w:rPr>
          <w:rFonts w:ascii="Times New Roman" w:hAnsi="Times New Roman" w:cs="Times New Roman"/>
          <w:sz w:val="22"/>
          <w:lang w:val="en-GB"/>
        </w:rPr>
        <w:t xml:space="preserve">, handover </w:t>
      </w:r>
      <w:r w:rsidR="00485C0B">
        <w:rPr>
          <w:rFonts w:ascii="Times New Roman" w:hAnsi="Times New Roman" w:cs="Times New Roman"/>
          <w:sz w:val="22"/>
          <w:lang w:val="en-GB"/>
        </w:rPr>
        <w:t xml:space="preserve">command </w:t>
      </w:r>
      <w:r w:rsidR="00132286">
        <w:rPr>
          <w:rFonts w:ascii="Times New Roman" w:hAnsi="Times New Roman" w:cs="Times New Roman"/>
          <w:sz w:val="22"/>
          <w:lang w:val="en-GB"/>
        </w:rPr>
        <w:t xml:space="preserve">message </w:t>
      </w:r>
      <w:r>
        <w:rPr>
          <w:rFonts w:ascii="Times New Roman" w:hAnsi="Times New Roman" w:cs="Times New Roman" w:hint="eastAsia"/>
          <w:sz w:val="22"/>
          <w:lang w:val="en-GB"/>
        </w:rPr>
        <w:t xml:space="preserve">from </w:t>
      </w:r>
      <w:r>
        <w:rPr>
          <w:rFonts w:ascii="Times New Roman" w:hAnsi="Times New Roman" w:cs="Times New Roman"/>
          <w:sz w:val="22"/>
          <w:lang w:val="en-GB"/>
        </w:rPr>
        <w:t>servi</w:t>
      </w:r>
      <w:r>
        <w:rPr>
          <w:rFonts w:ascii="Times New Roman" w:hAnsi="Times New Roman" w:cs="Times New Roman" w:hint="eastAsia"/>
          <w:sz w:val="22"/>
          <w:lang w:val="en-GB"/>
        </w:rPr>
        <w:t xml:space="preserve">ng cell </w:t>
      </w:r>
      <w:r w:rsidR="00132286">
        <w:rPr>
          <w:rFonts w:ascii="Times New Roman" w:hAnsi="Times New Roman" w:cs="Times New Roman"/>
          <w:sz w:val="22"/>
          <w:lang w:val="en-GB"/>
        </w:rPr>
        <w:t>include</w:t>
      </w:r>
      <w:r>
        <w:rPr>
          <w:rFonts w:ascii="Times New Roman" w:hAnsi="Times New Roman" w:cs="Times New Roman" w:hint="eastAsia"/>
          <w:sz w:val="22"/>
          <w:lang w:val="en-GB"/>
        </w:rPr>
        <w:t>s</w:t>
      </w:r>
      <w:r w:rsidR="00132286">
        <w:rPr>
          <w:rFonts w:ascii="Times New Roman" w:hAnsi="Times New Roman" w:cs="Times New Roman"/>
          <w:sz w:val="22"/>
          <w:lang w:val="en-GB"/>
        </w:rPr>
        <w:t xml:space="preserve"> system information</w:t>
      </w:r>
      <w:r>
        <w:rPr>
          <w:rFonts w:ascii="Times New Roman" w:hAnsi="Times New Roman" w:cs="Times New Roman" w:hint="eastAsia"/>
          <w:sz w:val="22"/>
          <w:lang w:val="en-GB"/>
        </w:rPr>
        <w:t xml:space="preserve"> for </w:t>
      </w:r>
      <w:r w:rsidR="00132286">
        <w:rPr>
          <w:rFonts w:ascii="Times New Roman" w:hAnsi="Times New Roman" w:cs="Times New Roman"/>
          <w:sz w:val="22"/>
          <w:lang w:val="en-GB"/>
        </w:rPr>
        <w:t>MBS</w:t>
      </w:r>
      <w:r>
        <w:rPr>
          <w:rFonts w:ascii="Times New Roman" w:hAnsi="Times New Roman" w:cs="Times New Roman" w:hint="eastAsia"/>
          <w:sz w:val="22"/>
          <w:lang w:val="en-GB"/>
        </w:rPr>
        <w:t>FN</w:t>
      </w:r>
      <w:r w:rsidR="00BB60D7">
        <w:rPr>
          <w:rFonts w:ascii="Times New Roman" w:hAnsi="Times New Roman" w:cs="Times New Roman" w:hint="eastAsia"/>
          <w:sz w:val="22"/>
          <w:lang w:val="en-GB"/>
        </w:rPr>
        <w:t xml:space="preserve"> for UE to receive V2X messages in other service area</w:t>
      </w:r>
      <w:r w:rsidR="00D76C64">
        <w:rPr>
          <w:rFonts w:ascii="Times New Roman" w:hAnsi="Times New Roman" w:cs="Times New Roman"/>
          <w:sz w:val="22"/>
          <w:lang w:val="en-GB"/>
        </w:rPr>
        <w:t>.</w:t>
      </w:r>
      <w:r w:rsidR="00132286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7C7B38" w:rsidRPr="00132286" w:rsidRDefault="007C7B38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</w:p>
    <w:p w:rsidR="007C7B38" w:rsidRPr="007C7B38" w:rsidRDefault="007C7B38" w:rsidP="007C7B38">
      <w:pPr>
        <w:rPr>
          <w:rFonts w:ascii="Times New Roman" w:hAnsi="Times New Roman" w:cs="Times New Roman"/>
          <w:b/>
          <w:sz w:val="22"/>
          <w:lang w:val="en-GB"/>
        </w:rPr>
      </w:pPr>
      <w:r w:rsidRPr="007C7B38">
        <w:rPr>
          <w:rFonts w:ascii="Times New Roman" w:hAnsi="Times New Roman" w:cs="Times New Roman"/>
          <w:b/>
          <w:sz w:val="22"/>
          <w:lang w:val="en-GB"/>
        </w:rPr>
        <w:t xml:space="preserve">Proposal 1 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BB60D7">
        <w:rPr>
          <w:rFonts w:ascii="Times New Roman" w:hAnsi="Times New Roman" w:cs="Times New Roman" w:hint="eastAsia"/>
          <w:b/>
          <w:sz w:val="22"/>
          <w:lang w:val="en-GB"/>
        </w:rPr>
        <w:t>The UE acquires MBSFN system information for other service area via handover command message in case of mobility between different service areas.</w:t>
      </w:r>
    </w:p>
    <w:p w:rsidR="007C7B38" w:rsidRPr="007C7B38" w:rsidRDefault="007C7B38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</w:p>
    <w:p w:rsidR="00165959" w:rsidRPr="00FD65C1" w:rsidRDefault="00165959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280AC9" w:rsidRDefault="00280AC9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80AC9">
        <w:rPr>
          <w:rFonts w:ascii="Times New Roman" w:hAnsi="Times New Roman" w:cs="Times New Roman"/>
          <w:sz w:val="22"/>
        </w:rPr>
        <w:t>In conclusion, we propose to agree the followings for MBS</w:t>
      </w:r>
      <w:r w:rsidR="003111DA">
        <w:rPr>
          <w:rFonts w:ascii="Times New Roman" w:hAnsi="Times New Roman" w:cs="Times New Roman" w:hint="eastAsia"/>
          <w:sz w:val="22"/>
        </w:rPr>
        <w:t>FN</w:t>
      </w:r>
      <w:r w:rsidRPr="00280AC9">
        <w:rPr>
          <w:rFonts w:ascii="Times New Roman" w:hAnsi="Times New Roman" w:cs="Times New Roman"/>
          <w:sz w:val="22"/>
        </w:rPr>
        <w:t xml:space="preserve"> enhancements in V2X</w:t>
      </w:r>
      <w:r>
        <w:rPr>
          <w:rFonts w:ascii="Times New Roman" w:hAnsi="Times New Roman" w:cs="Times New Roman"/>
          <w:sz w:val="22"/>
        </w:rPr>
        <w:t>:</w:t>
      </w:r>
    </w:p>
    <w:p w:rsidR="003111DA" w:rsidRPr="00693D9D" w:rsidRDefault="003111DA" w:rsidP="003111D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 1:</w:t>
      </w:r>
      <w:r w:rsidRPr="008A4CE1">
        <w:rPr>
          <w:rFonts w:ascii="Times New Roman" w:hAnsi="Times New Roman" w:cs="Times New Roman" w:hint="eastAsia"/>
          <w:sz w:val="22"/>
        </w:rPr>
        <w:t xml:space="preserve"> </w:t>
      </w:r>
      <w:r w:rsidRPr="007A6C57">
        <w:rPr>
          <w:rFonts w:ascii="Times New Roman" w:hAnsi="Times New Roman" w:cs="Times New Roman"/>
          <w:b/>
          <w:sz w:val="22"/>
        </w:rPr>
        <w:t xml:space="preserve">Latency requirement for V2X in small MBSFN area cannot be supported in case of </w:t>
      </w:r>
      <w:r w:rsidRPr="007A6C57">
        <w:rPr>
          <w:rFonts w:ascii="Times New Roman" w:hAnsi="Times New Roman" w:cs="Times New Roman"/>
          <w:b/>
          <w:sz w:val="22"/>
        </w:rPr>
        <w:lastRenderedPageBreak/>
        <w:t>mobility between different service areas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280AC9" w:rsidRDefault="00280AC9" w:rsidP="00F55635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280AC9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1:</w:t>
      </w:r>
      <w:r w:rsidR="00485C0B">
        <w:rPr>
          <w:rFonts w:ascii="Times New Roman" w:hAnsi="Times New Roman" w:cs="Times New Roman"/>
          <w:b/>
          <w:sz w:val="22"/>
        </w:rPr>
        <w:t xml:space="preserve"> </w:t>
      </w:r>
      <w:r w:rsidR="00BB60D7">
        <w:rPr>
          <w:rFonts w:ascii="Times New Roman" w:hAnsi="Times New Roman" w:cs="Times New Roman" w:hint="eastAsia"/>
          <w:b/>
          <w:sz w:val="22"/>
          <w:lang w:val="en-GB"/>
        </w:rPr>
        <w:t>The UE acquires MBSFN system information for other service area via handover command message in case of mobility between different service areas.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A86E42" w:rsidRDefault="00692F18" w:rsidP="004A2479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4860A9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</w:t>
      </w:r>
      <w:r w:rsidR="001C52B7">
        <w:rPr>
          <w:rFonts w:ascii="Times New Roman" w:hAnsi="Times New Roman" w:cs="Times New Roman"/>
          <w:sz w:val="22"/>
        </w:rPr>
        <w:t xml:space="preserve"> </w:t>
      </w:r>
      <w:r w:rsidR="00485C0B" w:rsidRPr="00485C0B">
        <w:rPr>
          <w:rFonts w:ascii="Times New Roman" w:hAnsi="Times New Roman" w:cs="Times New Roman"/>
          <w:sz w:val="22"/>
        </w:rPr>
        <w:t>3GPP TSG-RAN WG2 Meeting #95</w:t>
      </w:r>
      <w:r w:rsidR="00485C0B">
        <w:rPr>
          <w:rFonts w:ascii="Times New Roman" w:hAnsi="Times New Roman" w:cs="Times New Roman"/>
          <w:sz w:val="22"/>
        </w:rPr>
        <w:t xml:space="preserve">bis, </w:t>
      </w:r>
      <w:r w:rsidR="00485C0B" w:rsidRPr="00485C0B">
        <w:rPr>
          <w:rFonts w:ascii="Times New Roman" w:hAnsi="Times New Roman" w:cs="Times New Roman"/>
          <w:sz w:val="22"/>
        </w:rPr>
        <w:t>Report from LTE Break-Out Session (V2V, V2X, FeD2D, LATRED)</w:t>
      </w:r>
    </w:p>
    <w:p w:rsidR="001C52B7" w:rsidRDefault="001C52B7" w:rsidP="001C52B7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[</w:t>
      </w:r>
      <w:r w:rsidR="004860A9"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/>
          <w:sz w:val="22"/>
        </w:rPr>
        <w:t xml:space="preserve">] </w:t>
      </w:r>
      <w:r w:rsidRPr="001C52B7">
        <w:rPr>
          <w:rFonts w:ascii="Times New Roman" w:hAnsi="Times New Roman" w:cs="Times New Roman"/>
          <w:sz w:val="22"/>
        </w:rPr>
        <w:t>3GPP TR 36.885 V14.0.0 (2016-06)</w:t>
      </w:r>
      <w:r w:rsidRPr="001C52B7">
        <w:t xml:space="preserve"> </w:t>
      </w:r>
      <w:r w:rsidRPr="001C52B7">
        <w:rPr>
          <w:rFonts w:ascii="Times New Roman" w:hAnsi="Times New Roman" w:cs="Times New Roman"/>
          <w:sz w:val="22"/>
        </w:rPr>
        <w:t>Study on LTE-based V2X Services</w:t>
      </w:r>
      <w:r>
        <w:rPr>
          <w:rFonts w:ascii="Times New Roman" w:hAnsi="Times New Roman" w:cs="Times New Roman"/>
          <w:sz w:val="22"/>
        </w:rPr>
        <w:t xml:space="preserve">, </w:t>
      </w:r>
      <w:r w:rsidRPr="001C52B7">
        <w:rPr>
          <w:rFonts w:ascii="Times New Roman" w:hAnsi="Times New Roman" w:cs="Times New Roman"/>
          <w:sz w:val="22"/>
        </w:rPr>
        <w:t>(Release 14)</w:t>
      </w:r>
    </w:p>
    <w:p w:rsidR="001E2184" w:rsidRDefault="001E2184" w:rsidP="007A6C57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1E2184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959" w:rsidRDefault="002A3959" w:rsidP="00C82ABC">
      <w:pPr>
        <w:spacing w:after="0" w:line="240" w:lineRule="auto"/>
      </w:pPr>
      <w:r>
        <w:separator/>
      </w:r>
    </w:p>
  </w:endnote>
  <w:endnote w:type="continuationSeparator" w:id="0">
    <w:p w:rsidR="002A3959" w:rsidRDefault="002A3959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959" w:rsidRDefault="002A3959" w:rsidP="00C82ABC">
      <w:pPr>
        <w:spacing w:after="0" w:line="240" w:lineRule="auto"/>
      </w:pPr>
      <w:r>
        <w:separator/>
      </w:r>
    </w:p>
  </w:footnote>
  <w:footnote w:type="continuationSeparator" w:id="0">
    <w:p w:rsidR="002A3959" w:rsidRDefault="002A3959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40A114C"/>
    <w:multiLevelType w:val="hybridMultilevel"/>
    <w:tmpl w:val="9D66E76C"/>
    <w:lvl w:ilvl="0" w:tplc="8ACC2312">
      <w:start w:val="10"/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708E3DCD"/>
    <w:multiLevelType w:val="hybridMultilevel"/>
    <w:tmpl w:val="8CC8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14"/>
  </w:num>
  <w:num w:numId="9">
    <w:abstractNumId w:val="13"/>
  </w:num>
  <w:num w:numId="10">
    <w:abstractNumId w:val="12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1114C"/>
    <w:rsid w:val="00011866"/>
    <w:rsid w:val="00024049"/>
    <w:rsid w:val="00025C6A"/>
    <w:rsid w:val="000301EB"/>
    <w:rsid w:val="00033BE2"/>
    <w:rsid w:val="00040AF2"/>
    <w:rsid w:val="00060606"/>
    <w:rsid w:val="00062269"/>
    <w:rsid w:val="00067A5F"/>
    <w:rsid w:val="00072405"/>
    <w:rsid w:val="0008093C"/>
    <w:rsid w:val="0009101D"/>
    <w:rsid w:val="000B2659"/>
    <w:rsid w:val="000B7104"/>
    <w:rsid w:val="000C7739"/>
    <w:rsid w:val="000D4334"/>
    <w:rsid w:val="000F1B1D"/>
    <w:rsid w:val="00110CA0"/>
    <w:rsid w:val="00114071"/>
    <w:rsid w:val="00132286"/>
    <w:rsid w:val="00133657"/>
    <w:rsid w:val="00143889"/>
    <w:rsid w:val="00143933"/>
    <w:rsid w:val="00165959"/>
    <w:rsid w:val="00165B3F"/>
    <w:rsid w:val="00170431"/>
    <w:rsid w:val="00175CEF"/>
    <w:rsid w:val="001845F0"/>
    <w:rsid w:val="00193D37"/>
    <w:rsid w:val="001A78AD"/>
    <w:rsid w:val="001B1681"/>
    <w:rsid w:val="001C2217"/>
    <w:rsid w:val="001C52B7"/>
    <w:rsid w:val="001D2060"/>
    <w:rsid w:val="001E2184"/>
    <w:rsid w:val="001F20B7"/>
    <w:rsid w:val="001F7F7E"/>
    <w:rsid w:val="0020413E"/>
    <w:rsid w:val="00225131"/>
    <w:rsid w:val="00241F43"/>
    <w:rsid w:val="0024462D"/>
    <w:rsid w:val="0024554C"/>
    <w:rsid w:val="002470EE"/>
    <w:rsid w:val="00264A6C"/>
    <w:rsid w:val="00280AC9"/>
    <w:rsid w:val="00284BD2"/>
    <w:rsid w:val="002917B7"/>
    <w:rsid w:val="002A3959"/>
    <w:rsid w:val="002A66A5"/>
    <w:rsid w:val="002C604C"/>
    <w:rsid w:val="002C724B"/>
    <w:rsid w:val="002E3131"/>
    <w:rsid w:val="003019F3"/>
    <w:rsid w:val="003111DA"/>
    <w:rsid w:val="003148E9"/>
    <w:rsid w:val="00316138"/>
    <w:rsid w:val="00322595"/>
    <w:rsid w:val="003231B2"/>
    <w:rsid w:val="00325E42"/>
    <w:rsid w:val="003310A8"/>
    <w:rsid w:val="003527A1"/>
    <w:rsid w:val="00355BDE"/>
    <w:rsid w:val="0036197A"/>
    <w:rsid w:val="00363A83"/>
    <w:rsid w:val="003A1F0E"/>
    <w:rsid w:val="003C4C12"/>
    <w:rsid w:val="003D52FC"/>
    <w:rsid w:val="003D6512"/>
    <w:rsid w:val="003F604C"/>
    <w:rsid w:val="00415E4B"/>
    <w:rsid w:val="0043327F"/>
    <w:rsid w:val="00435799"/>
    <w:rsid w:val="00440514"/>
    <w:rsid w:val="00462B62"/>
    <w:rsid w:val="0047451B"/>
    <w:rsid w:val="00474849"/>
    <w:rsid w:val="00485C0B"/>
    <w:rsid w:val="004860A9"/>
    <w:rsid w:val="00486247"/>
    <w:rsid w:val="004A2479"/>
    <w:rsid w:val="004B2471"/>
    <w:rsid w:val="004C0293"/>
    <w:rsid w:val="004D4DDD"/>
    <w:rsid w:val="004E0853"/>
    <w:rsid w:val="004E5F7E"/>
    <w:rsid w:val="00507D0C"/>
    <w:rsid w:val="00530498"/>
    <w:rsid w:val="005305CD"/>
    <w:rsid w:val="00555CE1"/>
    <w:rsid w:val="00562205"/>
    <w:rsid w:val="00565A63"/>
    <w:rsid w:val="005776CE"/>
    <w:rsid w:val="00591C5F"/>
    <w:rsid w:val="00593147"/>
    <w:rsid w:val="00595FB5"/>
    <w:rsid w:val="005A7477"/>
    <w:rsid w:val="005B24D1"/>
    <w:rsid w:val="005C4F3B"/>
    <w:rsid w:val="005F3597"/>
    <w:rsid w:val="00600E3D"/>
    <w:rsid w:val="006035AE"/>
    <w:rsid w:val="00620385"/>
    <w:rsid w:val="00635564"/>
    <w:rsid w:val="006476B4"/>
    <w:rsid w:val="00663178"/>
    <w:rsid w:val="0067332A"/>
    <w:rsid w:val="00673930"/>
    <w:rsid w:val="00684031"/>
    <w:rsid w:val="00692F18"/>
    <w:rsid w:val="00693D9D"/>
    <w:rsid w:val="006963A0"/>
    <w:rsid w:val="006A7F75"/>
    <w:rsid w:val="006B49B8"/>
    <w:rsid w:val="006C278D"/>
    <w:rsid w:val="006D0B8C"/>
    <w:rsid w:val="006F5252"/>
    <w:rsid w:val="00711363"/>
    <w:rsid w:val="00734365"/>
    <w:rsid w:val="007361E5"/>
    <w:rsid w:val="00736E7C"/>
    <w:rsid w:val="00747EF8"/>
    <w:rsid w:val="007A6C57"/>
    <w:rsid w:val="007C1EB1"/>
    <w:rsid w:val="007C7B38"/>
    <w:rsid w:val="007D37CA"/>
    <w:rsid w:val="007E4655"/>
    <w:rsid w:val="007E7A88"/>
    <w:rsid w:val="007F7275"/>
    <w:rsid w:val="00813F07"/>
    <w:rsid w:val="00831FD1"/>
    <w:rsid w:val="00841A16"/>
    <w:rsid w:val="008475D4"/>
    <w:rsid w:val="00871EE8"/>
    <w:rsid w:val="00876AD8"/>
    <w:rsid w:val="008A4CE1"/>
    <w:rsid w:val="008A5029"/>
    <w:rsid w:val="008B1895"/>
    <w:rsid w:val="008C5CFA"/>
    <w:rsid w:val="008F0928"/>
    <w:rsid w:val="008F1ABC"/>
    <w:rsid w:val="00925CC4"/>
    <w:rsid w:val="009371A5"/>
    <w:rsid w:val="00941B8E"/>
    <w:rsid w:val="009441A8"/>
    <w:rsid w:val="0096315B"/>
    <w:rsid w:val="00985523"/>
    <w:rsid w:val="009951AC"/>
    <w:rsid w:val="009A5563"/>
    <w:rsid w:val="009A6DDD"/>
    <w:rsid w:val="009C0215"/>
    <w:rsid w:val="009C50D4"/>
    <w:rsid w:val="009F0D3C"/>
    <w:rsid w:val="009F5668"/>
    <w:rsid w:val="00A209C2"/>
    <w:rsid w:val="00A23D31"/>
    <w:rsid w:val="00A24E2F"/>
    <w:rsid w:val="00A25698"/>
    <w:rsid w:val="00A43282"/>
    <w:rsid w:val="00A4566A"/>
    <w:rsid w:val="00A54069"/>
    <w:rsid w:val="00A666DC"/>
    <w:rsid w:val="00A70BB5"/>
    <w:rsid w:val="00A86E42"/>
    <w:rsid w:val="00A9713F"/>
    <w:rsid w:val="00A97E82"/>
    <w:rsid w:val="00AB2CCD"/>
    <w:rsid w:val="00AC29AA"/>
    <w:rsid w:val="00AC4F0C"/>
    <w:rsid w:val="00AC6E35"/>
    <w:rsid w:val="00AC7F72"/>
    <w:rsid w:val="00AE4B73"/>
    <w:rsid w:val="00AF58E9"/>
    <w:rsid w:val="00B13F8F"/>
    <w:rsid w:val="00B1695D"/>
    <w:rsid w:val="00B45855"/>
    <w:rsid w:val="00B46276"/>
    <w:rsid w:val="00B47B6A"/>
    <w:rsid w:val="00B71A82"/>
    <w:rsid w:val="00B73D46"/>
    <w:rsid w:val="00B75042"/>
    <w:rsid w:val="00B83644"/>
    <w:rsid w:val="00BB14E2"/>
    <w:rsid w:val="00BB23CC"/>
    <w:rsid w:val="00BB60D7"/>
    <w:rsid w:val="00BD0265"/>
    <w:rsid w:val="00BD3BF1"/>
    <w:rsid w:val="00BE2C8F"/>
    <w:rsid w:val="00BF4BCA"/>
    <w:rsid w:val="00C32DB6"/>
    <w:rsid w:val="00C57C2B"/>
    <w:rsid w:val="00C77255"/>
    <w:rsid w:val="00C77D0B"/>
    <w:rsid w:val="00C82ABC"/>
    <w:rsid w:val="00CA1651"/>
    <w:rsid w:val="00CA43D6"/>
    <w:rsid w:val="00CA6B7C"/>
    <w:rsid w:val="00CB333F"/>
    <w:rsid w:val="00CC19AD"/>
    <w:rsid w:val="00CE6A2A"/>
    <w:rsid w:val="00CF104F"/>
    <w:rsid w:val="00CF7CB6"/>
    <w:rsid w:val="00D3394F"/>
    <w:rsid w:val="00D36CD6"/>
    <w:rsid w:val="00D52B9A"/>
    <w:rsid w:val="00D63941"/>
    <w:rsid w:val="00D7188A"/>
    <w:rsid w:val="00D72664"/>
    <w:rsid w:val="00D76C64"/>
    <w:rsid w:val="00D7708E"/>
    <w:rsid w:val="00D824BC"/>
    <w:rsid w:val="00D92D02"/>
    <w:rsid w:val="00DA6E8C"/>
    <w:rsid w:val="00DC01A6"/>
    <w:rsid w:val="00DC1836"/>
    <w:rsid w:val="00DC5C73"/>
    <w:rsid w:val="00DC7F8F"/>
    <w:rsid w:val="00DD1CB3"/>
    <w:rsid w:val="00DD2CC8"/>
    <w:rsid w:val="00DD74BB"/>
    <w:rsid w:val="00DE2B11"/>
    <w:rsid w:val="00E045DD"/>
    <w:rsid w:val="00E1081C"/>
    <w:rsid w:val="00E17E09"/>
    <w:rsid w:val="00E25EB1"/>
    <w:rsid w:val="00E367FC"/>
    <w:rsid w:val="00E456A8"/>
    <w:rsid w:val="00E552A7"/>
    <w:rsid w:val="00E55EF2"/>
    <w:rsid w:val="00E67FDB"/>
    <w:rsid w:val="00EC50F5"/>
    <w:rsid w:val="00EC6028"/>
    <w:rsid w:val="00EE7871"/>
    <w:rsid w:val="00EF2F13"/>
    <w:rsid w:val="00EF53EA"/>
    <w:rsid w:val="00EF5743"/>
    <w:rsid w:val="00F061C9"/>
    <w:rsid w:val="00F121BA"/>
    <w:rsid w:val="00F26611"/>
    <w:rsid w:val="00F31F3D"/>
    <w:rsid w:val="00F55635"/>
    <w:rsid w:val="00F56514"/>
    <w:rsid w:val="00F83F81"/>
    <w:rsid w:val="00F84A04"/>
    <w:rsid w:val="00FB47E1"/>
    <w:rsid w:val="00FD50DC"/>
    <w:rsid w:val="00F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6B8262-0357-4351-8955-45406370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47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2470EE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customStyle="1" w:styleId="TAH">
    <w:name w:val="TAH"/>
    <w:basedOn w:val="a"/>
    <w:link w:val="TAH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rsid w:val="003310A8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rsid w:val="003310A8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A43D6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A43D6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CA43D6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CA43D6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AC4F0C"/>
    <w:pPr>
      <w:numPr>
        <w:numId w:val="1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C4F0C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TH">
    <w:name w:val="TH"/>
    <w:basedOn w:val="a"/>
    <w:link w:val="THChar"/>
    <w:rsid w:val="001C52B7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rsid w:val="001C52B7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rsid w:val="001C52B7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8C5CFA"/>
    <w:pPr>
      <w:widowControl/>
      <w:numPr>
        <w:numId w:val="17"/>
      </w:numPr>
      <w:tabs>
        <w:tab w:val="left" w:pos="1701"/>
      </w:tabs>
      <w:wordWrap/>
      <w:overflowPunct w:val="0"/>
      <w:adjustRightInd w:val="0"/>
      <w:spacing w:after="120" w:line="240" w:lineRule="auto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목영중/Advanced Communications Lab(DMC연)/E3(사원)/삼성전자</cp:lastModifiedBy>
  <cp:revision>3</cp:revision>
  <dcterms:created xsi:type="dcterms:W3CDTF">2016-11-04T02:03:00Z</dcterms:created>
  <dcterms:modified xsi:type="dcterms:W3CDTF">2016-11-04T06:50:00Z</dcterms:modified>
</cp:coreProperties>
</file>